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30F3" w14:textId="77777777" w:rsidR="0004682B" w:rsidRPr="00536AA4" w:rsidRDefault="0004682B" w:rsidP="00536AA4">
      <w:pPr>
        <w:pStyle w:val="Titolo1"/>
      </w:pPr>
      <w:r w:rsidRPr="00536AA4">
        <w:t xml:space="preserve">INFORMATIVA </w:t>
      </w:r>
      <w:r w:rsidRPr="00536AA4">
        <w:rPr>
          <w:rStyle w:val="Titolo1Carattere"/>
          <w:b/>
          <w:bCs/>
        </w:rPr>
        <w:t>AZIENDALE</w:t>
      </w:r>
      <w:r w:rsidRPr="00536AA4">
        <w:t xml:space="preserve"> SUI MECCANISMI DI ADESIONE AUTOMATICA ALLA PREVIDENZA COMPLEMENTARE</w:t>
      </w:r>
    </w:p>
    <w:p w14:paraId="4BDDB444" w14:textId="77777777" w:rsidR="0004682B" w:rsidRPr="00536AA4" w:rsidRDefault="0004682B" w:rsidP="00536AA4">
      <w:pPr>
        <w:pStyle w:val="Titolo3"/>
      </w:pPr>
      <w:r w:rsidRPr="00536AA4">
        <w:t xml:space="preserve">(Ai sensi dell’art. 8, commi 8 e 9-bis, del </w:t>
      </w:r>
      <w:proofErr w:type="spellStart"/>
      <w:r w:rsidRPr="00536AA4">
        <w:t>D.Lgs.</w:t>
      </w:r>
      <w:proofErr w:type="spellEnd"/>
      <w:r w:rsidRPr="00536AA4">
        <w:t xml:space="preserve"> n. 252/2005 come riformato dalla Legge 199/2025 –  </w:t>
      </w:r>
      <w:r w:rsidRPr="00536AA4">
        <w:rPr>
          <w:b/>
          <w:bCs/>
        </w:rPr>
        <w:t>per le assunzioni decorrenti dal 1° luglio 2026</w:t>
      </w:r>
      <w:r w:rsidRPr="00536AA4">
        <w:t xml:space="preserve">) </w:t>
      </w:r>
    </w:p>
    <w:p w14:paraId="13597451" w14:textId="77777777" w:rsidR="0004682B" w:rsidRDefault="0004682B" w:rsidP="00536AA4"/>
    <w:p w14:paraId="69CFF235" w14:textId="77777777" w:rsidR="0004682B" w:rsidRPr="00536AA4" w:rsidRDefault="0004682B" w:rsidP="00536AA4">
      <w:r w:rsidRPr="00536AA4">
        <w:t>Gentile Lavoratrice / Egregio Lavoratore,</w:t>
      </w:r>
    </w:p>
    <w:p w14:paraId="698BD097" w14:textId="77777777" w:rsidR="0004682B" w:rsidRPr="0004682B" w:rsidRDefault="0004682B" w:rsidP="00536AA4">
      <w:r w:rsidRPr="00536AA4">
        <w:t>considerato l’avvio del Suo rapporto di lavoro, ed in conformità agli obblighi di legge previsti dall'articolo 8 del Decreto Legislativo n. 252/2005, la scrivente Società Le fornisce la presente informativa dettagliata in merito agli accordi collettivi applicabili, al funzionamento del meccanismo di adesione automatica alla previdenza complementare e alle opzioni a Lei riservate.</w:t>
      </w:r>
      <w:r w:rsidRPr="0004682B">
        <w:t xml:space="preserve"> </w:t>
      </w:r>
    </w:p>
    <w:p w14:paraId="33CE1BEE" w14:textId="77777777" w:rsidR="0004682B" w:rsidRPr="00536AA4" w:rsidRDefault="0004682B" w:rsidP="00536AA4">
      <w:pPr>
        <w:pStyle w:val="Titolo2"/>
      </w:pPr>
      <w:r w:rsidRPr="00536AA4">
        <w:t>1. Quadro normativo e tipologie di lavoratori</w:t>
      </w:r>
    </w:p>
    <w:p w14:paraId="05124298" w14:textId="77777777" w:rsidR="0004682B" w:rsidRPr="0004682B" w:rsidRDefault="0004682B" w:rsidP="00536AA4">
      <w:r w:rsidRPr="0004682B">
        <w:t>La legge prevede che ogni lavoratore venga informato sugli accordi applicabili, sul meccanismo di adesione automatica al fondo pensione e sulle relative tempistiche.</w:t>
      </w:r>
    </w:p>
    <w:p w14:paraId="28917F7C" w14:textId="77777777" w:rsidR="0004682B" w:rsidRPr="0004682B" w:rsidRDefault="0004682B" w:rsidP="00536AA4">
      <w:r w:rsidRPr="0004682B">
        <w:t>La normativa distingue gli obblighi informativi e le modalità di gestione del Trattamento di Fine Rapporto (TFR) in base alla Sua precedente storia lavorativa:</w:t>
      </w:r>
    </w:p>
    <w:p w14:paraId="70D48FB6" w14:textId="152A1119" w:rsidR="0004682B" w:rsidRPr="0004682B" w:rsidRDefault="0004682B" w:rsidP="00536AA4">
      <w:pPr>
        <w:pStyle w:val="Titolo3"/>
      </w:pPr>
      <w:r w:rsidRPr="0004682B">
        <w:t>A) Lavoratori di "</w:t>
      </w:r>
      <w:r w:rsidRPr="00536AA4">
        <w:rPr>
          <w:b/>
          <w:bCs/>
        </w:rPr>
        <w:t>Prima Assunzione</w:t>
      </w:r>
      <w:r w:rsidRPr="0004682B">
        <w:t>" (assunti per la prima volta come dipendenti privati)</w:t>
      </w:r>
      <w:r w:rsidR="009036EB">
        <w:t xml:space="preserve"> – a partire dal 1° luglio 2026</w:t>
      </w:r>
    </w:p>
    <w:p w14:paraId="259A26E4" w14:textId="77777777" w:rsidR="0004682B" w:rsidRPr="00641D3F" w:rsidRDefault="0004682B" w:rsidP="00536AA4">
      <w:r>
        <w:t xml:space="preserve">Rientra in questa casistica se è stato assunto per la prima volta come lavoratore dipendente privato. </w:t>
      </w:r>
      <w:r w:rsidRPr="00981833">
        <w:t>In tal caso qualora non venga esplicitata</w:t>
      </w:r>
      <w:r>
        <w:t xml:space="preserve"> </w:t>
      </w:r>
      <w:r w:rsidRPr="00981833">
        <w:t>tramite la modulistica allegata alla presente una scelta diversa</w:t>
      </w:r>
      <w:r>
        <w:t xml:space="preserve"> </w:t>
      </w:r>
      <w:r w:rsidRPr="00981833">
        <w:t>entro 60 giorni dall’assunzione</w:t>
      </w:r>
      <w:r>
        <w:t>,</w:t>
      </w:r>
      <w:r>
        <w:rPr>
          <w:b/>
          <w:bCs/>
        </w:rPr>
        <w:t xml:space="preserve"> </w:t>
      </w:r>
      <w:r>
        <w:t>si realizza l</w:t>
      </w:r>
      <w:r w:rsidRPr="00641D3F">
        <w:t xml:space="preserve">'adesione automatica </w:t>
      </w:r>
      <w:r>
        <w:t>al fondo collettivo di riferimento</w:t>
      </w:r>
      <w:r w:rsidRPr="00641D3F">
        <w:t xml:space="preserve">. </w:t>
      </w:r>
      <w:r w:rsidRPr="00BF5912">
        <w:t>È</w:t>
      </w:r>
      <w:r>
        <w:t xml:space="preserve"> possibile rinunciare all’adesione automatica compilando il modulo per la scelta sulla destinazione del TFR e aderendo esplicitamente ad un fondo pensione oppure lasciando che il Tfr maturi secondo il regime ordinario in azienda o presso il Fondo Tesoreria Inps ai sensi dell’art. 2120 c.c. e con relativa tassazione peggiorativa.</w:t>
      </w:r>
    </w:p>
    <w:p w14:paraId="25D2B05A" w14:textId="19E1CF68" w:rsidR="0004682B" w:rsidRPr="00641D3F" w:rsidRDefault="0004682B" w:rsidP="00536AA4">
      <w:pPr>
        <w:pStyle w:val="Titolo3"/>
      </w:pPr>
      <w:r w:rsidRPr="00641D3F">
        <w:t>B) Lavoratori "</w:t>
      </w:r>
      <w:r w:rsidRPr="00536AA4">
        <w:rPr>
          <w:b/>
          <w:bCs/>
        </w:rPr>
        <w:t>Non di Prima Assunzione</w:t>
      </w:r>
      <w:r w:rsidRPr="00641D3F">
        <w:t>" (</w:t>
      </w:r>
      <w:r>
        <w:t>neoassunti c</w:t>
      </w:r>
      <w:r w:rsidRPr="00641D3F">
        <w:t xml:space="preserve">on precedente </w:t>
      </w:r>
      <w:r>
        <w:t>rapporto di</w:t>
      </w:r>
      <w:r w:rsidRPr="00641D3F">
        <w:t xml:space="preserve"> lavor</w:t>
      </w:r>
      <w:r>
        <w:t>o</w:t>
      </w:r>
      <w:r w:rsidRPr="00803365">
        <w:t xml:space="preserve"> </w:t>
      </w:r>
      <w:r w:rsidRPr="00E71678">
        <w:t>come dipendenti privati</w:t>
      </w:r>
      <w:r>
        <w:t xml:space="preserve"> – “Riassunti”</w:t>
      </w:r>
      <w:r w:rsidRPr="00641D3F">
        <w:t>)</w:t>
      </w:r>
      <w:r w:rsidR="009036EB">
        <w:t xml:space="preserve"> </w:t>
      </w:r>
      <w:r w:rsidR="009036EB">
        <w:t>– a partire dal 1° luglio 2026</w:t>
      </w:r>
    </w:p>
    <w:p w14:paraId="1EC43707" w14:textId="77777777" w:rsidR="0004682B" w:rsidRPr="00641D3F" w:rsidRDefault="0004682B" w:rsidP="00536AA4">
      <w:r w:rsidRPr="00641D3F">
        <w:t>Se ha già avuto precedenti rapporti di lavoro</w:t>
      </w:r>
      <w:r>
        <w:t xml:space="preserve"> come dipendente privato</w:t>
      </w:r>
      <w:r w:rsidRPr="00641D3F">
        <w:t>,</w:t>
      </w:r>
      <w:r>
        <w:t xml:space="preserve"> in fase di assunzione</w:t>
      </w:r>
      <w:r w:rsidRPr="00641D3F">
        <w:t xml:space="preserve"> l'azienda è tenuta a verificare la scelta da Lei già compiuta in passato. A tal fine, Le viene richiesto di rilasciare un'apposita dichiarazione per attestare se: </w:t>
      </w:r>
    </w:p>
    <w:p w14:paraId="687FC236" w14:textId="77777777" w:rsidR="0004682B" w:rsidRPr="00981833" w:rsidRDefault="0004682B" w:rsidP="00536AA4">
      <w:pPr>
        <w:pStyle w:val="Paragrafoelenco"/>
        <w:numPr>
          <w:ilvl w:val="0"/>
          <w:numId w:val="1"/>
        </w:numPr>
      </w:pPr>
      <w:r w:rsidRPr="00641D3F">
        <w:t xml:space="preserve">Ha già in essere un'adesione a una forma pensionistica complementare con conferimento </w:t>
      </w:r>
      <w:r>
        <w:t xml:space="preserve">totale o parziale </w:t>
      </w:r>
      <w:r w:rsidRPr="00641D3F">
        <w:t>del TFR</w:t>
      </w:r>
      <w:r>
        <w:t>: s</w:t>
      </w:r>
      <w:r w:rsidRPr="00641D3F">
        <w:t xml:space="preserve">e ha già una forma pensionistica attiva, ha </w:t>
      </w:r>
      <w:r w:rsidRPr="00536AA4">
        <w:rPr>
          <w:rFonts w:cs="Lato Black"/>
          <w:b/>
          <w:bCs/>
        </w:rPr>
        <w:t>60 giorni di tempo</w:t>
      </w:r>
      <w:r w:rsidRPr="00641D3F">
        <w:t xml:space="preserve"> dalla data di assunzione per indicare a quale forma previdenziale conferire il TFR maturando da tale data. In mancanza di indicazioni, scatterà il meccanismo di adesione automatica</w:t>
      </w:r>
      <w:r w:rsidRPr="00981833">
        <w:t xml:space="preserve"> come descritto di seguito</w:t>
      </w:r>
      <w:r w:rsidRPr="00641D3F">
        <w:t xml:space="preserve">. </w:t>
      </w:r>
      <w:r w:rsidRPr="00981833">
        <w:t>Non è possibile in</w:t>
      </w:r>
      <w:r>
        <w:t>vece</w:t>
      </w:r>
      <w:r w:rsidRPr="00981833">
        <w:t xml:space="preserve"> decidere che il Tfr maturi in azienda/Inps secondo le norme dell’art.</w:t>
      </w:r>
      <w:r>
        <w:t xml:space="preserve"> </w:t>
      </w:r>
      <w:r w:rsidRPr="00981833">
        <w:t>2120 c.c.</w:t>
      </w:r>
      <w:r>
        <w:t xml:space="preserve"> </w:t>
      </w:r>
    </w:p>
    <w:p w14:paraId="084A7414" w14:textId="77777777" w:rsidR="0004682B" w:rsidRPr="00641D3F" w:rsidRDefault="0004682B" w:rsidP="00536AA4">
      <w:pPr>
        <w:pStyle w:val="Paragrafoelenco"/>
        <w:numPr>
          <w:ilvl w:val="0"/>
          <w:numId w:val="1"/>
        </w:numPr>
      </w:pPr>
      <w:r w:rsidRPr="00641D3F">
        <w:t>Non ha alcuna adesione in essere con versamento di TFR</w:t>
      </w:r>
      <w:r>
        <w:t xml:space="preserve"> totale o parziale: i</w:t>
      </w:r>
      <w:r w:rsidRPr="00981833">
        <w:t>n questo caso non scatta l’adesione automatica e il Tfr continua a maturare secondo l’art.</w:t>
      </w:r>
      <w:r>
        <w:t xml:space="preserve"> </w:t>
      </w:r>
      <w:r w:rsidRPr="00981833">
        <w:t xml:space="preserve">2120 c.c. con </w:t>
      </w:r>
      <w:r w:rsidRPr="00981833">
        <w:lastRenderedPageBreak/>
        <w:t xml:space="preserve">tassazione peggiorativa. </w:t>
      </w:r>
      <w:r>
        <w:t>È</w:t>
      </w:r>
      <w:r w:rsidRPr="00981833">
        <w:t xml:space="preserve"> sempre possibile rivedere tale scelta e conferire il Tfr maturando alla previdenza complementare.</w:t>
      </w:r>
    </w:p>
    <w:p w14:paraId="2B53CA4E" w14:textId="77777777" w:rsidR="0004682B" w:rsidRPr="00641D3F" w:rsidRDefault="0004682B" w:rsidP="00536AA4"/>
    <w:p w14:paraId="4884DE2A" w14:textId="77777777" w:rsidR="0004682B" w:rsidRPr="00641D3F" w:rsidRDefault="0004682B" w:rsidP="00536AA4">
      <w:pPr>
        <w:pStyle w:val="Titolo2"/>
        <w:rPr>
          <w:rFonts w:ascii="Arial" w:eastAsia="Times New Roman" w:hAnsi="Arial" w:cs="Arial"/>
          <w:kern w:val="0"/>
          <w:sz w:val="36"/>
          <w:szCs w:val="36"/>
          <w14:ligatures w14:val="none"/>
        </w:rPr>
      </w:pPr>
      <w:r w:rsidRPr="00641D3F">
        <w:t xml:space="preserve">2. </w:t>
      </w:r>
      <w:r w:rsidRPr="00803365">
        <w:t xml:space="preserve">Accordi applicabili, </w:t>
      </w:r>
      <w:r>
        <w:t>f</w:t>
      </w:r>
      <w:r w:rsidRPr="00641D3F">
        <w:t xml:space="preserve">unzionamento ed </w:t>
      </w:r>
      <w:r>
        <w:t>e</w:t>
      </w:r>
      <w:r w:rsidRPr="00641D3F">
        <w:t>ffetti dell'</w:t>
      </w:r>
      <w:r>
        <w:t>a</w:t>
      </w:r>
      <w:r w:rsidRPr="00641D3F">
        <w:t xml:space="preserve">desione </w:t>
      </w:r>
      <w:r>
        <w:t>a</w:t>
      </w:r>
      <w:r w:rsidRPr="00641D3F">
        <w:t>utomatica</w:t>
      </w:r>
    </w:p>
    <w:p w14:paraId="1093E117" w14:textId="77777777" w:rsidR="00660A7D" w:rsidRDefault="0004682B" w:rsidP="00536AA4">
      <w:r>
        <w:t xml:space="preserve">Gli </w:t>
      </w:r>
      <w:r w:rsidRPr="00536AA4">
        <w:rPr>
          <w:rFonts w:cs="Lato Black"/>
          <w:b/>
          <w:bCs/>
        </w:rPr>
        <w:t>accordi applicabili</w:t>
      </w:r>
      <w:r w:rsidRPr="0004682B">
        <w:rPr>
          <w:rFonts w:ascii="Lato Black" w:hAnsi="Lato Black" w:cs="Lato Black"/>
        </w:rPr>
        <w:t xml:space="preserve"> </w:t>
      </w:r>
      <w:r>
        <w:t xml:space="preserve">al Suo rapporto di lavoro </w:t>
      </w:r>
      <w:r w:rsidRPr="00660A7D">
        <w:t>sono i seguenti:</w:t>
      </w:r>
      <w:r w:rsidR="00660A7D">
        <w:t xml:space="preserve"> </w:t>
      </w:r>
    </w:p>
    <w:p w14:paraId="6B681CD9" w14:textId="78347C5D" w:rsidR="00660A7D" w:rsidRPr="00536AA4" w:rsidRDefault="00660A7D" w:rsidP="00536AA4">
      <w:pPr>
        <w:rPr>
          <w:i/>
          <w:iCs/>
          <w:highlight w:val="yellow"/>
        </w:rPr>
      </w:pPr>
      <w:r w:rsidRPr="00536AA4">
        <w:rPr>
          <w:i/>
          <w:iCs/>
          <w:highlight w:val="yellow"/>
        </w:rPr>
        <w:t>(ELIMINARE I CCNL DIVERSI DA QUELLO APPLICATO DALL’AZIENDA)</w:t>
      </w:r>
    </w:p>
    <w:tbl>
      <w:tblPr>
        <w:tblStyle w:val="Tabellasemplice-2"/>
        <w:tblW w:w="9972" w:type="dxa"/>
        <w:tblLook w:val="0480" w:firstRow="0" w:lastRow="0" w:firstColumn="1" w:lastColumn="0" w:noHBand="0" w:noVBand="1"/>
      </w:tblPr>
      <w:tblGrid>
        <w:gridCol w:w="743"/>
        <w:gridCol w:w="9346"/>
      </w:tblGrid>
      <w:tr w:rsidR="00660A7D" w:rsidRPr="00660A7D" w14:paraId="2B8DE467" w14:textId="77777777" w:rsidTr="0066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noWrap/>
            <w:hideMark/>
          </w:tcPr>
          <w:p w14:paraId="043A17B2" w14:textId="77777777" w:rsidR="00660A7D" w:rsidRPr="00660A7D" w:rsidRDefault="00660A7D" w:rsidP="00536AA4">
            <w:r w:rsidRPr="00660A7D">
              <w:t>C018</w:t>
            </w:r>
          </w:p>
        </w:tc>
        <w:tc>
          <w:tcPr>
            <w:tcW w:w="9346" w:type="dxa"/>
            <w:noWrap/>
            <w:hideMark/>
          </w:tcPr>
          <w:p w14:paraId="43ABA962" w14:textId="77777777" w:rsidR="00660A7D" w:rsidRPr="00660A7D" w:rsidRDefault="00660A7D" w:rsidP="00536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A7D">
              <w:t xml:space="preserve"> CCNL per i lavoratori addetti alla piccola e media industria metalmeccanica ed alla installazione di impianti Confapi</w:t>
            </w:r>
          </w:p>
        </w:tc>
      </w:tr>
      <w:tr w:rsidR="00660A7D" w:rsidRPr="00660A7D" w14:paraId="2B6C30B7" w14:textId="77777777" w:rsidTr="00660A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noWrap/>
            <w:hideMark/>
          </w:tcPr>
          <w:p w14:paraId="7D80080D" w14:textId="77777777" w:rsidR="00660A7D" w:rsidRPr="00660A7D" w:rsidRDefault="00660A7D" w:rsidP="00536AA4">
            <w:r w:rsidRPr="00660A7D">
              <w:t>C01A</w:t>
            </w:r>
          </w:p>
        </w:tc>
        <w:tc>
          <w:tcPr>
            <w:tcW w:w="9346" w:type="dxa"/>
            <w:noWrap/>
            <w:hideMark/>
          </w:tcPr>
          <w:p w14:paraId="33C1C340" w14:textId="72099BFA" w:rsidR="00660A7D" w:rsidRPr="00660A7D" w:rsidRDefault="00660A7D" w:rsidP="00536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0A7D">
              <w:t>PMI settore metalmeccanico ed istallazione impianti</w:t>
            </w:r>
          </w:p>
        </w:tc>
      </w:tr>
      <w:tr w:rsidR="00660A7D" w:rsidRPr="00660A7D" w14:paraId="418FDCDD" w14:textId="77777777" w:rsidTr="0066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noWrap/>
            <w:hideMark/>
          </w:tcPr>
          <w:p w14:paraId="70959460" w14:textId="77777777" w:rsidR="00660A7D" w:rsidRPr="00660A7D" w:rsidRDefault="00660A7D" w:rsidP="00536AA4">
            <w:r w:rsidRPr="00660A7D">
              <w:t>B018</w:t>
            </w:r>
          </w:p>
        </w:tc>
        <w:tc>
          <w:tcPr>
            <w:tcW w:w="9346" w:type="dxa"/>
            <w:noWrap/>
            <w:hideMark/>
          </w:tcPr>
          <w:p w14:paraId="356A140C" w14:textId="77777777" w:rsidR="00660A7D" w:rsidRPr="00660A7D" w:rsidRDefault="00660A7D" w:rsidP="00536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A7D">
              <w:t xml:space="preserve">CCNL </w:t>
            </w:r>
            <w:proofErr w:type="spellStart"/>
            <w:r w:rsidRPr="00660A7D">
              <w:t>Unionchimica</w:t>
            </w:r>
            <w:proofErr w:type="spellEnd"/>
            <w:r w:rsidRPr="00660A7D">
              <w:t xml:space="preserve"> Confapi per i lavoratori della piccola e media industria dei settori: chimica, concia e settori accorpati, plastica e gomma, abrasivi, ceramica e vetro</w:t>
            </w:r>
          </w:p>
        </w:tc>
      </w:tr>
      <w:tr w:rsidR="00660A7D" w:rsidRPr="00660A7D" w14:paraId="2DEDE281" w14:textId="77777777" w:rsidTr="00660A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noWrap/>
            <w:hideMark/>
          </w:tcPr>
          <w:p w14:paraId="4718CF38" w14:textId="77777777" w:rsidR="00660A7D" w:rsidRPr="00660A7D" w:rsidRDefault="00660A7D" w:rsidP="00536AA4">
            <w:r w:rsidRPr="00660A7D">
              <w:t>D018</w:t>
            </w:r>
          </w:p>
        </w:tc>
        <w:tc>
          <w:tcPr>
            <w:tcW w:w="9346" w:type="dxa"/>
            <w:noWrap/>
            <w:hideMark/>
          </w:tcPr>
          <w:p w14:paraId="1DD27562" w14:textId="77777777" w:rsidR="00660A7D" w:rsidRPr="00660A7D" w:rsidRDefault="00660A7D" w:rsidP="00536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0A7D">
              <w:t>CCNL per gli addetti alle piccole e medie industrie del settore tessile-abbigliamento-moda, calzature, pelli e cuoio, penne, spazzole e pennelli, occhiali, giocattoli</w:t>
            </w:r>
          </w:p>
        </w:tc>
      </w:tr>
      <w:tr w:rsidR="00660A7D" w:rsidRPr="00660A7D" w14:paraId="3D3BBBBC" w14:textId="77777777" w:rsidTr="0066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noWrap/>
            <w:hideMark/>
          </w:tcPr>
          <w:p w14:paraId="1A1747A8" w14:textId="77777777" w:rsidR="00660A7D" w:rsidRPr="00660A7D" w:rsidRDefault="00660A7D" w:rsidP="00536AA4">
            <w:r w:rsidRPr="00660A7D">
              <w:t>E018</w:t>
            </w:r>
          </w:p>
        </w:tc>
        <w:tc>
          <w:tcPr>
            <w:tcW w:w="9346" w:type="dxa"/>
            <w:noWrap/>
            <w:hideMark/>
          </w:tcPr>
          <w:p w14:paraId="0A24B4E0" w14:textId="77777777" w:rsidR="00660A7D" w:rsidRPr="00660A7D" w:rsidRDefault="00660A7D" w:rsidP="00536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A7D">
              <w:t>CCNL per i lavoratori dipendenti della piccola e media industria alimentare</w:t>
            </w:r>
          </w:p>
        </w:tc>
      </w:tr>
      <w:tr w:rsidR="00660A7D" w:rsidRPr="00660A7D" w14:paraId="470ECAF4" w14:textId="77777777" w:rsidTr="00660A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noWrap/>
            <w:hideMark/>
          </w:tcPr>
          <w:p w14:paraId="379DE447" w14:textId="77777777" w:rsidR="00660A7D" w:rsidRPr="00660A7D" w:rsidRDefault="00660A7D" w:rsidP="00536AA4">
            <w:r w:rsidRPr="00660A7D">
              <w:t>G029</w:t>
            </w:r>
          </w:p>
        </w:tc>
        <w:tc>
          <w:tcPr>
            <w:tcW w:w="9346" w:type="dxa"/>
            <w:noWrap/>
            <w:hideMark/>
          </w:tcPr>
          <w:p w14:paraId="3F4B4E7C" w14:textId="77777777" w:rsidR="00660A7D" w:rsidRPr="00660A7D" w:rsidRDefault="00660A7D" w:rsidP="00536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0A7D">
              <w:t>PMI della comunicazione, dell'informatica, dei servizi innovativi e della microimpresa</w:t>
            </w:r>
          </w:p>
        </w:tc>
      </w:tr>
      <w:tr w:rsidR="00660A7D" w:rsidRPr="00660A7D" w14:paraId="3986CC75" w14:textId="77777777" w:rsidTr="0066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noWrap/>
            <w:hideMark/>
          </w:tcPr>
          <w:p w14:paraId="1D8CDFAA" w14:textId="77777777" w:rsidR="00660A7D" w:rsidRPr="00660A7D" w:rsidRDefault="00660A7D" w:rsidP="00536AA4">
            <w:r w:rsidRPr="00660A7D">
              <w:t>F018</w:t>
            </w:r>
          </w:p>
        </w:tc>
        <w:tc>
          <w:tcPr>
            <w:tcW w:w="9346" w:type="dxa"/>
            <w:noWrap/>
            <w:hideMark/>
          </w:tcPr>
          <w:p w14:paraId="406D3B40" w14:textId="77777777" w:rsidR="00660A7D" w:rsidRPr="00660A7D" w:rsidRDefault="00660A7D" w:rsidP="00536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A7D">
              <w:t>CCNL per gli addetti delle piccole e medie industrie edili ed affini</w:t>
            </w:r>
          </w:p>
        </w:tc>
      </w:tr>
      <w:tr w:rsidR="00660A7D" w:rsidRPr="00660A7D" w14:paraId="3BBC7EED" w14:textId="77777777" w:rsidTr="00660A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noWrap/>
            <w:hideMark/>
          </w:tcPr>
          <w:p w14:paraId="035E85EA" w14:textId="77777777" w:rsidR="00660A7D" w:rsidRPr="00660A7D" w:rsidRDefault="00660A7D" w:rsidP="00536AA4">
            <w:r w:rsidRPr="00660A7D">
              <w:t>F020</w:t>
            </w:r>
          </w:p>
        </w:tc>
        <w:tc>
          <w:tcPr>
            <w:tcW w:w="9346" w:type="dxa"/>
            <w:noWrap/>
            <w:hideMark/>
          </w:tcPr>
          <w:p w14:paraId="5C441A94" w14:textId="77777777" w:rsidR="00660A7D" w:rsidRPr="00660A7D" w:rsidRDefault="00660A7D" w:rsidP="00536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0A7D">
              <w:t>CCNL dei materiali da costruzione</w:t>
            </w:r>
          </w:p>
        </w:tc>
      </w:tr>
      <w:tr w:rsidR="00660A7D" w:rsidRPr="00660A7D" w14:paraId="28C7F207" w14:textId="77777777" w:rsidTr="0066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noWrap/>
            <w:hideMark/>
          </w:tcPr>
          <w:p w14:paraId="495E17CC" w14:textId="77777777" w:rsidR="00660A7D" w:rsidRPr="00660A7D" w:rsidRDefault="00660A7D" w:rsidP="00536AA4">
            <w:r w:rsidRPr="00660A7D">
              <w:t>K511</w:t>
            </w:r>
          </w:p>
        </w:tc>
        <w:tc>
          <w:tcPr>
            <w:tcW w:w="9346" w:type="dxa"/>
            <w:noWrap/>
            <w:hideMark/>
          </w:tcPr>
          <w:p w14:paraId="39C3D4D0" w14:textId="77777777" w:rsidR="00660A7D" w:rsidRPr="00660A7D" w:rsidRDefault="00660A7D" w:rsidP="00536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A7D">
              <w:t>CCNL per il personale dipendente da imprese esercenti servizi di pulizia e servizi integrati/multiservizi</w:t>
            </w:r>
          </w:p>
        </w:tc>
      </w:tr>
    </w:tbl>
    <w:p w14:paraId="5053B4EA" w14:textId="77777777" w:rsidR="00660A7D" w:rsidRDefault="00660A7D" w:rsidP="00536AA4"/>
    <w:p w14:paraId="775444B9" w14:textId="24EECCD3" w:rsidR="00660A7D" w:rsidRPr="00536AA4" w:rsidRDefault="00660A7D" w:rsidP="00536AA4">
      <w:pPr>
        <w:rPr>
          <w:i/>
          <w:iCs/>
        </w:rPr>
      </w:pPr>
      <w:r w:rsidRPr="00536AA4">
        <w:rPr>
          <w:i/>
          <w:iCs/>
          <w:highlight w:val="yellow"/>
        </w:rPr>
        <w:t>Indicare ulteriori accordi aziendali di secondo livello</w:t>
      </w:r>
      <w:r w:rsidRPr="00536AA4">
        <w:rPr>
          <w:i/>
          <w:iCs/>
        </w:rPr>
        <w:t xml:space="preserve"> </w:t>
      </w:r>
    </w:p>
    <w:p w14:paraId="71B2DBA6" w14:textId="133AC2E6" w:rsidR="0004682B" w:rsidRPr="0004682B" w:rsidRDefault="0004682B" w:rsidP="00536AA4">
      <w:pPr>
        <w:rPr>
          <w:rFonts w:ascii="Lato Black" w:hAnsi="Lato Black" w:cs="Lato Black"/>
        </w:rPr>
      </w:pPr>
      <w:r>
        <w:t xml:space="preserve">In base a tali accordi </w:t>
      </w:r>
      <w:r w:rsidRPr="009D37D8">
        <w:t xml:space="preserve">il </w:t>
      </w:r>
      <w:r>
        <w:t>F</w:t>
      </w:r>
      <w:r w:rsidRPr="009D37D8">
        <w:t xml:space="preserve">ondo </w:t>
      </w:r>
      <w:r>
        <w:t xml:space="preserve">pensione </w:t>
      </w:r>
      <w:r w:rsidRPr="009D37D8">
        <w:t>collettivo di riferimento per l’adesione automatica è</w:t>
      </w:r>
      <w:r>
        <w:t xml:space="preserve">: </w:t>
      </w:r>
      <w:r w:rsidRPr="00536AA4">
        <w:rPr>
          <w:rFonts w:cs="Lato Black"/>
          <w:b/>
          <w:bCs/>
        </w:rPr>
        <w:t>FONDAPI n. albo Covip 116</w:t>
      </w:r>
    </w:p>
    <w:p w14:paraId="75A16A8F" w14:textId="7CE7D3F6" w:rsidR="0004682B" w:rsidRDefault="0004682B" w:rsidP="00536AA4">
      <w:r>
        <w:t>La scheda destinatari e contributi contenuta nella Parte I della Nota informativa del Fondo pensione fornisce dettagli circa il Tfr maturando da destinare (</w:t>
      </w:r>
      <w:r w:rsidRPr="002E7C96">
        <w:t>che l'adesione automatica prevede per l'intero importo, ma che il lavoratore</w:t>
      </w:r>
      <w:r>
        <w:t>, nelle ipotesi in cui il Tfr parziale è consentito,</w:t>
      </w:r>
      <w:r w:rsidRPr="002E7C96">
        <w:t xml:space="preserve"> può scegliere di destinare in forma parziale attivando un'adesione esplicita nei 60 giorni</w:t>
      </w:r>
      <w:r>
        <w:t xml:space="preserve"> dalla data di assunzione) e la misura dei contributi a carico del datore di lavoro e del lavoratore come definiti dagli accordi applicabili. </w:t>
      </w:r>
      <w:r w:rsidR="00660A7D" w:rsidRPr="00660A7D">
        <w:t>In particolare,</w:t>
      </w:r>
      <w:r w:rsidRPr="00660A7D">
        <w:t xml:space="preserve"> è prevista la contribuzione datoriale pari</w:t>
      </w:r>
      <w:r w:rsidR="00660A7D">
        <w:t xml:space="preserve"> a:</w:t>
      </w:r>
    </w:p>
    <w:p w14:paraId="58ABC458" w14:textId="77777777" w:rsidR="00660A7D" w:rsidRPr="00536AA4" w:rsidRDefault="00660A7D" w:rsidP="00536AA4">
      <w:pPr>
        <w:rPr>
          <w:i/>
          <w:iCs/>
          <w:highlight w:val="yellow"/>
        </w:rPr>
      </w:pPr>
      <w:r w:rsidRPr="00536AA4">
        <w:rPr>
          <w:i/>
          <w:iCs/>
          <w:highlight w:val="yellow"/>
        </w:rPr>
        <w:t>(ELIMINARE I CCNL DIVERSI DA QUELLO APPLICATO DALL’AZIENDA)</w:t>
      </w:r>
    </w:p>
    <w:tbl>
      <w:tblPr>
        <w:tblW w:w="9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  <w:gridCol w:w="2874"/>
        <w:gridCol w:w="1966"/>
      </w:tblGrid>
      <w:tr w:rsidR="00660A7D" w:rsidRPr="00660A7D" w14:paraId="3B47A7FB" w14:textId="77777777" w:rsidTr="00660A7D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296FD" w14:textId="77777777" w:rsidR="00660A7D" w:rsidRPr="00660A7D" w:rsidRDefault="00660A7D" w:rsidP="00536AA4">
            <w:r w:rsidRPr="00660A7D">
              <w:t>CCNL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73E14" w14:textId="77777777" w:rsidR="00660A7D" w:rsidRPr="00660A7D" w:rsidRDefault="00660A7D" w:rsidP="00536AA4">
            <w:r w:rsidRPr="00660A7D">
              <w:t>Contributo minimo aderente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55AC2" w14:textId="77777777" w:rsidR="00660A7D" w:rsidRPr="00660A7D" w:rsidRDefault="00660A7D" w:rsidP="00536AA4">
            <w:r w:rsidRPr="00660A7D">
              <w:t>Contributo azienda</w:t>
            </w:r>
          </w:p>
        </w:tc>
      </w:tr>
      <w:tr w:rsidR="00660A7D" w:rsidRPr="00660A7D" w14:paraId="382BAC6E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42A6A" w14:textId="77777777" w:rsidR="00660A7D" w:rsidRPr="00660A7D" w:rsidRDefault="00660A7D" w:rsidP="00536AA4">
            <w:r w:rsidRPr="00660A7D">
              <w:t>Metalmeccanico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C035F" w14:textId="77777777" w:rsidR="00660A7D" w:rsidRPr="00660A7D" w:rsidRDefault="00660A7D" w:rsidP="00536AA4">
            <w:r w:rsidRPr="00660A7D">
              <w:t>1,20%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A0556" w14:textId="77777777" w:rsidR="00660A7D" w:rsidRPr="00660A7D" w:rsidRDefault="00660A7D" w:rsidP="00536AA4">
            <w:r w:rsidRPr="00660A7D">
              <w:t>2,00%</w:t>
            </w:r>
          </w:p>
        </w:tc>
      </w:tr>
      <w:tr w:rsidR="00660A7D" w:rsidRPr="00660A7D" w14:paraId="43A8391A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2B8EC" w14:textId="77777777" w:rsidR="00660A7D" w:rsidRPr="00660A7D" w:rsidRDefault="00660A7D" w:rsidP="00536AA4">
            <w:r w:rsidRPr="00660A7D">
              <w:t>Chimico, Concia e Accorpati &amp; Plastica Gomma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D2214" w14:textId="77777777" w:rsidR="00660A7D" w:rsidRPr="00660A7D" w:rsidRDefault="00660A7D" w:rsidP="00536AA4">
            <w:r w:rsidRPr="00660A7D">
              <w:t>1,06% – 1,60%*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14C48" w14:textId="77777777" w:rsidR="00660A7D" w:rsidRPr="00660A7D" w:rsidRDefault="00660A7D" w:rsidP="00536AA4">
            <w:r w:rsidRPr="00660A7D">
              <w:t>1,66% – 2,00%*</w:t>
            </w:r>
          </w:p>
        </w:tc>
      </w:tr>
      <w:tr w:rsidR="00660A7D" w:rsidRPr="00660A7D" w14:paraId="1402C0F0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37735" w14:textId="77777777" w:rsidR="00660A7D" w:rsidRPr="00660A7D" w:rsidRDefault="00660A7D" w:rsidP="00536AA4">
            <w:r w:rsidRPr="00660A7D">
              <w:t>Ceramica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10126" w14:textId="77777777" w:rsidR="00660A7D" w:rsidRPr="00660A7D" w:rsidRDefault="00660A7D" w:rsidP="00536AA4">
            <w:r w:rsidRPr="00660A7D">
              <w:t>1,70% – 1,80%*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5E0EE" w14:textId="77777777" w:rsidR="00660A7D" w:rsidRPr="00660A7D" w:rsidRDefault="00660A7D" w:rsidP="00536AA4">
            <w:r w:rsidRPr="00660A7D">
              <w:t>2,30% -2,40%*</w:t>
            </w:r>
          </w:p>
        </w:tc>
      </w:tr>
      <w:tr w:rsidR="00660A7D" w:rsidRPr="00660A7D" w14:paraId="501E9665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06CB0" w14:textId="77777777" w:rsidR="00660A7D" w:rsidRPr="00660A7D" w:rsidRDefault="00660A7D" w:rsidP="00536AA4">
            <w:r w:rsidRPr="00660A7D">
              <w:t>Vetro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669F0" w14:textId="77777777" w:rsidR="00660A7D" w:rsidRPr="00660A7D" w:rsidRDefault="00660A7D" w:rsidP="00536AA4">
            <w:r w:rsidRPr="00660A7D">
              <w:t>1,40% – 1,50%*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AF966" w14:textId="77777777" w:rsidR="00660A7D" w:rsidRPr="00660A7D" w:rsidRDefault="00660A7D" w:rsidP="00536AA4">
            <w:r w:rsidRPr="00660A7D">
              <w:t>2,00% – 2,10%*</w:t>
            </w:r>
          </w:p>
        </w:tc>
      </w:tr>
      <w:tr w:rsidR="00660A7D" w:rsidRPr="00660A7D" w14:paraId="3AFAA047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C8073" w14:textId="77777777" w:rsidR="00660A7D" w:rsidRPr="00660A7D" w:rsidRDefault="00660A7D" w:rsidP="00536AA4">
            <w:r w:rsidRPr="00660A7D">
              <w:t>Abrasivi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89ADE" w14:textId="77777777" w:rsidR="00660A7D" w:rsidRPr="00660A7D" w:rsidRDefault="00660A7D" w:rsidP="00536AA4">
            <w:r w:rsidRPr="00660A7D">
              <w:t>1,20% – 1,30%*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9D704" w14:textId="77777777" w:rsidR="00660A7D" w:rsidRPr="00660A7D" w:rsidRDefault="00660A7D" w:rsidP="00536AA4">
            <w:r w:rsidRPr="00660A7D">
              <w:t>2,25% – 2,35%*</w:t>
            </w:r>
          </w:p>
        </w:tc>
      </w:tr>
      <w:tr w:rsidR="00660A7D" w:rsidRPr="00660A7D" w14:paraId="4718DFB1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385F5" w14:textId="77777777" w:rsidR="00660A7D" w:rsidRPr="00660A7D" w:rsidRDefault="00660A7D" w:rsidP="00536AA4">
            <w:r w:rsidRPr="00660A7D">
              <w:t>Tessile, abbigliamento, ecc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6CA64" w14:textId="77777777" w:rsidR="00660A7D" w:rsidRPr="00660A7D" w:rsidRDefault="00660A7D" w:rsidP="00536AA4">
            <w:r w:rsidRPr="00660A7D">
              <w:t>1,60%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F359F" w14:textId="77777777" w:rsidR="00660A7D" w:rsidRPr="00660A7D" w:rsidRDefault="00660A7D" w:rsidP="00536AA4">
            <w:r w:rsidRPr="00660A7D">
              <w:t>2,00%</w:t>
            </w:r>
          </w:p>
        </w:tc>
      </w:tr>
      <w:tr w:rsidR="00660A7D" w:rsidRPr="00660A7D" w14:paraId="1CE7A5FF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A555B" w14:textId="77777777" w:rsidR="00660A7D" w:rsidRPr="00660A7D" w:rsidRDefault="00660A7D" w:rsidP="00536AA4">
            <w:r w:rsidRPr="00660A7D">
              <w:lastRenderedPageBreak/>
              <w:t>Alimentare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458B" w14:textId="77777777" w:rsidR="00660A7D" w:rsidRPr="00660A7D" w:rsidRDefault="00660A7D" w:rsidP="00536AA4">
            <w:r w:rsidRPr="00660A7D">
              <w:t>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DDC43" w14:textId="77777777" w:rsidR="00660A7D" w:rsidRPr="00660A7D" w:rsidRDefault="00660A7D" w:rsidP="00536AA4">
            <w:r w:rsidRPr="00660A7D">
              <w:t>1,20%</w:t>
            </w:r>
          </w:p>
        </w:tc>
      </w:tr>
      <w:tr w:rsidR="00660A7D" w:rsidRPr="00660A7D" w14:paraId="5763E140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7EF31" w14:textId="77777777" w:rsidR="00660A7D" w:rsidRPr="00660A7D" w:rsidRDefault="00660A7D" w:rsidP="00536AA4">
            <w:r w:rsidRPr="00660A7D">
              <w:t>Servizi di pulizia, Multiservizi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0168C" w14:textId="77777777" w:rsidR="00660A7D" w:rsidRPr="00660A7D" w:rsidRDefault="00660A7D" w:rsidP="00536AA4">
            <w:r w:rsidRPr="00660A7D">
              <w:t>1,00%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DDA7D" w14:textId="77777777" w:rsidR="00660A7D" w:rsidRPr="00660A7D" w:rsidRDefault="00660A7D" w:rsidP="00536AA4">
            <w:r w:rsidRPr="00660A7D">
              <w:t>1,00%</w:t>
            </w:r>
          </w:p>
        </w:tc>
      </w:tr>
      <w:tr w:rsidR="00660A7D" w:rsidRPr="00660A7D" w14:paraId="28914779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52732" w14:textId="77777777" w:rsidR="00660A7D" w:rsidRPr="00660A7D" w:rsidRDefault="00660A7D" w:rsidP="00536AA4">
            <w:r w:rsidRPr="00660A7D">
              <w:t>Edili e affini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D85EC" w14:textId="77777777" w:rsidR="00660A7D" w:rsidRPr="00660A7D" w:rsidRDefault="00660A7D" w:rsidP="00536AA4">
            <w:r w:rsidRPr="00660A7D">
              <w:t>1,10%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7A9FF" w14:textId="77777777" w:rsidR="00660A7D" w:rsidRPr="00660A7D" w:rsidRDefault="00660A7D" w:rsidP="00536AA4">
            <w:r w:rsidRPr="00660A7D">
              <w:t>1,10%</w:t>
            </w:r>
          </w:p>
        </w:tc>
      </w:tr>
      <w:tr w:rsidR="00660A7D" w:rsidRPr="00660A7D" w14:paraId="3BD4C0BD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FAA65" w14:textId="77777777" w:rsidR="00660A7D" w:rsidRPr="00660A7D" w:rsidRDefault="00660A7D" w:rsidP="00536AA4">
            <w:r w:rsidRPr="00660A7D">
              <w:t>Lapidei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8E2CC" w14:textId="77777777" w:rsidR="00660A7D" w:rsidRPr="00660A7D" w:rsidRDefault="00660A7D" w:rsidP="00536AA4">
            <w:r w:rsidRPr="00660A7D">
              <w:t>1,40%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17A7B" w14:textId="77777777" w:rsidR="00660A7D" w:rsidRPr="00660A7D" w:rsidRDefault="00660A7D" w:rsidP="00536AA4">
            <w:r w:rsidRPr="00660A7D">
              <w:t>2,40%</w:t>
            </w:r>
          </w:p>
        </w:tc>
      </w:tr>
      <w:tr w:rsidR="00660A7D" w:rsidRPr="00660A7D" w14:paraId="5B424E27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2D665" w14:textId="77777777" w:rsidR="00660A7D" w:rsidRPr="00660A7D" w:rsidRDefault="00660A7D" w:rsidP="00536AA4">
            <w:r w:rsidRPr="00660A7D">
              <w:t>Laterizi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7C252" w14:textId="77777777" w:rsidR="00660A7D" w:rsidRPr="00660A7D" w:rsidRDefault="00660A7D" w:rsidP="00536AA4">
            <w:r w:rsidRPr="00660A7D">
              <w:t>1,60%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6B7B4" w14:textId="77777777" w:rsidR="00660A7D" w:rsidRPr="00660A7D" w:rsidRDefault="00660A7D" w:rsidP="00536AA4">
            <w:r w:rsidRPr="00660A7D">
              <w:t>1,80%</w:t>
            </w:r>
          </w:p>
        </w:tc>
      </w:tr>
      <w:tr w:rsidR="00660A7D" w:rsidRPr="00660A7D" w14:paraId="352F127F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D1F3D" w14:textId="77777777" w:rsidR="00660A7D" w:rsidRPr="00660A7D" w:rsidRDefault="00660A7D" w:rsidP="00536AA4">
            <w:r w:rsidRPr="00660A7D">
              <w:t>Cemento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41E50" w14:textId="77777777" w:rsidR="00660A7D" w:rsidRPr="00660A7D" w:rsidRDefault="00660A7D" w:rsidP="00536AA4">
            <w:r w:rsidRPr="00660A7D">
              <w:t>1,40%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B8A8D" w14:textId="77777777" w:rsidR="00660A7D" w:rsidRPr="00660A7D" w:rsidRDefault="00660A7D" w:rsidP="00536AA4">
            <w:r w:rsidRPr="00660A7D">
              <w:t>1,90%</w:t>
            </w:r>
          </w:p>
        </w:tc>
      </w:tr>
      <w:tr w:rsidR="00660A7D" w:rsidRPr="00660A7D" w14:paraId="03E5D9BC" w14:textId="77777777" w:rsidTr="00660A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572B8" w14:textId="77777777" w:rsidR="00660A7D" w:rsidRPr="00660A7D" w:rsidRDefault="00660A7D" w:rsidP="00536AA4">
            <w:r w:rsidRPr="00660A7D">
              <w:t>Comunicazione. Informatica, Servizi innovativi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EDBDB" w14:textId="77777777" w:rsidR="00660A7D" w:rsidRPr="00660A7D" w:rsidRDefault="00660A7D" w:rsidP="00536AA4">
            <w:r w:rsidRPr="00660A7D">
              <w:t>1,20%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52053" w14:textId="77777777" w:rsidR="00660A7D" w:rsidRPr="00660A7D" w:rsidRDefault="00660A7D" w:rsidP="00536AA4">
            <w:r w:rsidRPr="00660A7D">
              <w:t>1,20%</w:t>
            </w:r>
          </w:p>
        </w:tc>
      </w:tr>
    </w:tbl>
    <w:p w14:paraId="6913B0C5" w14:textId="77777777" w:rsidR="00660A7D" w:rsidRDefault="00660A7D" w:rsidP="00536AA4"/>
    <w:p w14:paraId="4C81E882" w14:textId="77777777" w:rsidR="0004682B" w:rsidRPr="00641D3F" w:rsidRDefault="0004682B" w:rsidP="00536AA4">
      <w:r w:rsidRPr="00641D3F">
        <w:t>Qualora non</w:t>
      </w:r>
      <w:r>
        <w:t xml:space="preserve"> si</w:t>
      </w:r>
      <w:r w:rsidRPr="00641D3F">
        <w:t xml:space="preserve"> esprima una volontà contraria entro il termine perentorio di </w:t>
      </w:r>
      <w:r w:rsidRPr="00536AA4">
        <w:rPr>
          <w:rFonts w:cs="Lato Black"/>
          <w:b/>
          <w:bCs/>
        </w:rPr>
        <w:t>60 giorni</w:t>
      </w:r>
      <w:r w:rsidRPr="00641D3F">
        <w:t xml:space="preserve"> dall'assunzione, </w:t>
      </w:r>
      <w:r>
        <w:t xml:space="preserve">se è un neoassunto (caso A) o un riassunto con </w:t>
      </w:r>
      <w:r w:rsidRPr="00641D3F">
        <w:t xml:space="preserve">un'adesione a una forma pensionistica complementare con conferimento </w:t>
      </w:r>
      <w:r>
        <w:t xml:space="preserve">totale o parziale </w:t>
      </w:r>
      <w:r w:rsidRPr="00641D3F">
        <w:t>del TF</w:t>
      </w:r>
      <w:r>
        <w:t xml:space="preserve">R (caso B.1), </w:t>
      </w:r>
      <w:r w:rsidRPr="00641D3F">
        <w:t xml:space="preserve">si attiverà il meccanismo di adesione automatica con i seguenti effetti: </w:t>
      </w:r>
    </w:p>
    <w:p w14:paraId="2EC1A71B" w14:textId="77777777" w:rsidR="0004682B" w:rsidRPr="00641D3F" w:rsidRDefault="0004682B" w:rsidP="00536AA4">
      <w:pPr>
        <w:pStyle w:val="Paragrafoelenco"/>
        <w:numPr>
          <w:ilvl w:val="0"/>
          <w:numId w:val="2"/>
        </w:numPr>
      </w:pPr>
      <w:r w:rsidRPr="00536AA4">
        <w:rPr>
          <w:rFonts w:cs="Lato Black"/>
          <w:b/>
          <w:bCs/>
        </w:rPr>
        <w:t>Destinazione delle risorse</w:t>
      </w:r>
      <w:r w:rsidRPr="0004682B">
        <w:rPr>
          <w:b/>
          <w:bCs/>
        </w:rPr>
        <w:t>:</w:t>
      </w:r>
      <w:r w:rsidRPr="00641D3F">
        <w:t xml:space="preserve"> Al Fondo pensione confluirà </w:t>
      </w:r>
      <w:r w:rsidRPr="00536AA4">
        <w:rPr>
          <w:rFonts w:cs="Lato Black"/>
          <w:b/>
          <w:bCs/>
        </w:rPr>
        <w:t>l'intero importo del TFR maturando</w:t>
      </w:r>
      <w:r w:rsidRPr="00641D3F">
        <w:t>. Inoltre</w:t>
      </w:r>
      <w:r>
        <w:t xml:space="preserve">, </w:t>
      </w:r>
      <w:r w:rsidRPr="00641D3F">
        <w:t xml:space="preserve">verranno attivati anche i contributi a carico del datore di lavoro e del lavoratore. </w:t>
      </w:r>
    </w:p>
    <w:p w14:paraId="56349584" w14:textId="77777777" w:rsidR="0004682B" w:rsidRDefault="0004682B" w:rsidP="00536AA4">
      <w:pPr>
        <w:pStyle w:val="Paragrafoelenco"/>
        <w:numPr>
          <w:ilvl w:val="0"/>
          <w:numId w:val="2"/>
        </w:numPr>
      </w:pPr>
      <w:r w:rsidRPr="00536AA4">
        <w:rPr>
          <w:rFonts w:cs="Lato Black"/>
          <w:b/>
          <w:bCs/>
        </w:rPr>
        <w:t>Tempistica dei versamenti</w:t>
      </w:r>
      <w:r w:rsidRPr="0004682B">
        <w:rPr>
          <w:b/>
          <w:bCs/>
        </w:rPr>
        <w:t>:</w:t>
      </w:r>
      <w:r w:rsidRPr="00641D3F">
        <w:t xml:space="preserve"> I flussi </w:t>
      </w:r>
      <w:r>
        <w:t xml:space="preserve">contributivi </w:t>
      </w:r>
      <w:r w:rsidRPr="00641D3F">
        <w:t xml:space="preserve">cominceranno a confluire al Fondo a decorrere dal mese successivo alla scadenza del termine dei 60 giorni, coprendo retroattivamente quanto dovuto dalla data di assunzione. </w:t>
      </w:r>
    </w:p>
    <w:p w14:paraId="3A58D992" w14:textId="77777777" w:rsidR="0004682B" w:rsidRPr="00641D3F" w:rsidRDefault="0004682B" w:rsidP="00536AA4">
      <w:pPr>
        <w:pStyle w:val="Paragrafoelenco"/>
        <w:numPr>
          <w:ilvl w:val="0"/>
          <w:numId w:val="2"/>
        </w:numPr>
      </w:pPr>
      <w:r w:rsidRPr="00536AA4">
        <w:rPr>
          <w:rFonts w:cs="Lato Black"/>
          <w:b/>
          <w:bCs/>
        </w:rPr>
        <w:t>Decorrenza dell’adesione</w:t>
      </w:r>
      <w:r w:rsidRPr="0004682B">
        <w:rPr>
          <w:b/>
          <w:bCs/>
        </w:rPr>
        <w:t>:</w:t>
      </w:r>
      <w:r>
        <w:t xml:space="preserve"> </w:t>
      </w:r>
      <w:r w:rsidRPr="00641D3F">
        <w:t>L'adesione automatica decorre formalmente dalla data di assunzione</w:t>
      </w:r>
      <w:r>
        <w:t>.</w:t>
      </w:r>
    </w:p>
    <w:p w14:paraId="7D9F9019" w14:textId="77777777" w:rsidR="0004682B" w:rsidRPr="00036932" w:rsidRDefault="0004682B" w:rsidP="00536AA4">
      <w:pPr>
        <w:pStyle w:val="Paragrafoelenco"/>
        <w:numPr>
          <w:ilvl w:val="0"/>
          <w:numId w:val="2"/>
        </w:numPr>
      </w:pPr>
      <w:r w:rsidRPr="00536AA4">
        <w:rPr>
          <w:rFonts w:cs="Lato Black"/>
          <w:b/>
          <w:bCs/>
        </w:rPr>
        <w:t>Linee di investimento:</w:t>
      </w:r>
      <w:r w:rsidRPr="00641D3F">
        <w:t xml:space="preserve"> Le somme saranno inizialmente indirizzate verso percorsi di investimento </w:t>
      </w:r>
      <w:r>
        <w:t>coerenti con l’</w:t>
      </w:r>
      <w:r w:rsidRPr="00641D3F">
        <w:t xml:space="preserve">età anagrafica. Resta salva la facoltà di modificare in ogni momento la linea di allocazione </w:t>
      </w:r>
      <w:r>
        <w:t xml:space="preserve">come sarà indicato nella </w:t>
      </w:r>
      <w:r w:rsidRPr="00036932">
        <w:t>lettera di benvenuto che riceverà dal fondo collettivo di riferimento.</w:t>
      </w:r>
    </w:p>
    <w:p w14:paraId="6D681C05" w14:textId="77777777" w:rsidR="0004682B" w:rsidRPr="00036932" w:rsidRDefault="0004682B" w:rsidP="00536AA4">
      <w:pPr>
        <w:pStyle w:val="Paragrafoelenco"/>
        <w:numPr>
          <w:ilvl w:val="0"/>
          <w:numId w:val="2"/>
        </w:numPr>
      </w:pPr>
      <w:r w:rsidRPr="00536AA4">
        <w:rPr>
          <w:rFonts w:cs="Lato Black"/>
          <w:b/>
          <w:bCs/>
        </w:rPr>
        <w:t>Lettera di benvenuto del Fondo pensione</w:t>
      </w:r>
      <w:r w:rsidRPr="0004682B">
        <w:rPr>
          <w:b/>
          <w:bCs/>
        </w:rPr>
        <w:t xml:space="preserve">: </w:t>
      </w:r>
      <w:r w:rsidRPr="00036932">
        <w:t>il fondo pensione</w:t>
      </w:r>
      <w:r w:rsidRPr="0004682B">
        <w:rPr>
          <w:b/>
          <w:bCs/>
        </w:rPr>
        <w:t xml:space="preserve"> </w:t>
      </w:r>
      <w:r w:rsidRPr="00036932">
        <w:t>Le invierà una comunicazione di avvenuta adesione automatica informandola del perco</w:t>
      </w:r>
      <w:r>
        <w:t>rso o della linea</w:t>
      </w:r>
      <w:r w:rsidRPr="00036932">
        <w:t xml:space="preserve"> di investimento </w:t>
      </w:r>
      <w:r>
        <w:t>di destinazione</w:t>
      </w:r>
      <w:r w:rsidRPr="00036932">
        <w:t xml:space="preserve">, della possibilità di cambiare tale </w:t>
      </w:r>
      <w:r>
        <w:t>allocazione</w:t>
      </w:r>
      <w:r w:rsidRPr="00036932">
        <w:t xml:space="preserve"> anche prima del termine statutario di 12 mesi e dell</w:t>
      </w:r>
      <w:r>
        <w:t>e modalità</w:t>
      </w:r>
      <w:r w:rsidRPr="00036932">
        <w:t xml:space="preserve"> </w:t>
      </w:r>
      <w:r>
        <w:t>per</w:t>
      </w:r>
      <w:r w:rsidRPr="00036932">
        <w:t xml:space="preserve"> prendere visione della Nota informativa e di ogni altra documentazione utile a comprendere i diritti connessi alla partecipazione al </w:t>
      </w:r>
      <w:r>
        <w:t>F</w:t>
      </w:r>
      <w:r w:rsidRPr="00036932">
        <w:t>ondo pensione.</w:t>
      </w:r>
    </w:p>
    <w:p w14:paraId="4E07DF48" w14:textId="77777777" w:rsidR="0004682B" w:rsidRPr="00641D3F" w:rsidRDefault="0004682B" w:rsidP="00536AA4">
      <w:pPr>
        <w:pStyle w:val="Titolo2"/>
      </w:pPr>
      <w:r w:rsidRPr="00641D3F">
        <w:t xml:space="preserve">3. </w:t>
      </w:r>
      <w:r>
        <w:t>Avvertenze</w:t>
      </w:r>
    </w:p>
    <w:p w14:paraId="1F0DA38D" w14:textId="77777777" w:rsidR="0004682B" w:rsidRPr="00C65E04" w:rsidRDefault="0004682B" w:rsidP="00536AA4">
      <w:pPr>
        <w:pStyle w:val="Paragrafoelenco"/>
        <w:numPr>
          <w:ilvl w:val="0"/>
          <w:numId w:val="3"/>
        </w:numPr>
      </w:pPr>
      <w:r>
        <w:t>È possibile d</w:t>
      </w:r>
      <w:r w:rsidRPr="00641D3F">
        <w:t>estinare</w:t>
      </w:r>
      <w:r>
        <w:t xml:space="preserve"> esplicitamente</w:t>
      </w:r>
      <w:r w:rsidRPr="00641D3F">
        <w:t xml:space="preserve"> il TFR </w:t>
      </w:r>
      <w:r>
        <w:t xml:space="preserve">maturando </w:t>
      </w:r>
      <w:r w:rsidRPr="00641D3F">
        <w:t xml:space="preserve">nella diversa misura (percentuale) eventualmente prevista dall'accordo o contratto collettivo di riferimento. </w:t>
      </w:r>
      <w:r w:rsidRPr="00C65E04">
        <w:t xml:space="preserve">Per i lavoratori iscritti alla previdenza obbligatoria antecedentemente al 29 aprile 1993, qualora i contratti collettivi non contengano previsioni specifiche sulla destinazione del TFR, è possibile destinare una misura minima non inferiore al 50%. </w:t>
      </w:r>
    </w:p>
    <w:p w14:paraId="69481C41" w14:textId="77777777" w:rsidR="0004682B" w:rsidRPr="00C65E04" w:rsidRDefault="0004682B" w:rsidP="00536AA4">
      <w:pPr>
        <w:pStyle w:val="Paragrafoelenco"/>
        <w:numPr>
          <w:ilvl w:val="0"/>
          <w:numId w:val="3"/>
        </w:numPr>
      </w:pPr>
      <w:r w:rsidRPr="00C65E04">
        <w:t xml:space="preserve">La contribuzione a carico del lavoratore </w:t>
      </w:r>
      <w:r w:rsidRPr="00536AA4">
        <w:rPr>
          <w:rFonts w:cs="Lato Black"/>
          <w:b/>
          <w:bCs/>
        </w:rPr>
        <w:t>non è obbligatoria</w:t>
      </w:r>
      <w:r w:rsidRPr="0004682B">
        <w:rPr>
          <w:rFonts w:ascii="Lato Black" w:hAnsi="Lato Black" w:cs="Lato Black"/>
        </w:rPr>
        <w:t xml:space="preserve"> </w:t>
      </w:r>
      <w:r w:rsidRPr="00C65E04">
        <w:t xml:space="preserve">se la retribuzione annuale lorda (RAL) risulta inferiore al valore dell'assegno sociale INPS. In tale circostanza, può richiedere espressamente di non versare la quota di contribuzione </w:t>
      </w:r>
      <w:r>
        <w:t xml:space="preserve">minima contrattuale prevista a Suo </w:t>
      </w:r>
      <w:r>
        <w:lastRenderedPageBreak/>
        <w:t>carico</w:t>
      </w:r>
      <w:r w:rsidRPr="00C65E04">
        <w:t xml:space="preserve">, lasciando attivi il conferimento del TFR e della contribuzione datoriale prevista dagli accordi applicabili. </w:t>
      </w:r>
    </w:p>
    <w:p w14:paraId="0E70E71F" w14:textId="77777777" w:rsidR="0004682B" w:rsidRPr="00641D3F" w:rsidRDefault="0004682B" w:rsidP="00536AA4">
      <w:pPr>
        <w:pStyle w:val="Titolo2"/>
      </w:pPr>
      <w:r w:rsidRPr="00641D3F">
        <w:t xml:space="preserve">4. Adempimenti e </w:t>
      </w:r>
      <w:r>
        <w:t>m</w:t>
      </w:r>
      <w:r w:rsidRPr="00641D3F">
        <w:t xml:space="preserve">odulistica da </w:t>
      </w:r>
      <w:r>
        <w:t>c</w:t>
      </w:r>
      <w:r w:rsidRPr="00641D3F">
        <w:t>onsegnare</w:t>
      </w:r>
    </w:p>
    <w:p w14:paraId="1C5F4D41" w14:textId="77777777" w:rsidR="0004682B" w:rsidRPr="00641D3F" w:rsidRDefault="0004682B" w:rsidP="00536AA4">
      <w:r w:rsidRPr="00641D3F">
        <w:t xml:space="preserve">Per regolarizzare la Sua posizione, La invitiamo a prendere visione, compilare e restituire all'Ufficio Risorse Umane, </w:t>
      </w:r>
      <w:r w:rsidRPr="00536AA4">
        <w:rPr>
          <w:rFonts w:cs="Lato Black"/>
          <w:b/>
          <w:bCs/>
        </w:rPr>
        <w:t>entro e non oltre 60 giorni dalla data di assunzione</w:t>
      </w:r>
      <w:r w:rsidRPr="00641D3F">
        <w:t xml:space="preserve">, </w:t>
      </w:r>
      <w:r>
        <w:t xml:space="preserve">oltre alla presente informativa appositamente sottoscritta, </w:t>
      </w:r>
      <w:r w:rsidRPr="00641D3F">
        <w:t>i</w:t>
      </w:r>
      <w:r>
        <w:t xml:space="preserve">l modulo compilato nella sezione corrispondente al </w:t>
      </w:r>
      <w:r w:rsidRPr="00641D3F">
        <w:t xml:space="preserve">Suo profilo: </w:t>
      </w:r>
    </w:p>
    <w:p w14:paraId="0F238AE9" w14:textId="77777777" w:rsidR="0004682B" w:rsidRPr="009C381C" w:rsidRDefault="0004682B" w:rsidP="00536AA4">
      <w:pPr>
        <w:pStyle w:val="Paragrafoelenco"/>
        <w:numPr>
          <w:ilvl w:val="0"/>
          <w:numId w:val="4"/>
        </w:numPr>
      </w:pPr>
      <w:r w:rsidRPr="009C381C">
        <w:t xml:space="preserve">Se lavoratore di prima assunzione come dipendente privato: Compilare Sezione 1 del MODULO. </w:t>
      </w:r>
    </w:p>
    <w:p w14:paraId="6194CD61" w14:textId="77777777" w:rsidR="0004682B" w:rsidRPr="00F4609A" w:rsidRDefault="0004682B" w:rsidP="00536AA4">
      <w:pPr>
        <w:pStyle w:val="Paragrafoelenco"/>
        <w:numPr>
          <w:ilvl w:val="0"/>
          <w:numId w:val="4"/>
        </w:numPr>
      </w:pPr>
      <w:r w:rsidRPr="00F4609A">
        <w:t xml:space="preserve">Se lavoratore con precedenti rapporti lavorativi come dipendente privato: Compilare Sezione 2 del MODULO. </w:t>
      </w:r>
    </w:p>
    <w:p w14:paraId="2498000B" w14:textId="77777777" w:rsidR="0004682B" w:rsidRDefault="0004682B" w:rsidP="00536AA4"/>
    <w:p w14:paraId="76467EDC" w14:textId="77777777" w:rsidR="0004682B" w:rsidRPr="00641D3F" w:rsidRDefault="0004682B" w:rsidP="00536AA4">
      <w:r w:rsidRPr="00641D3F">
        <w:t>Ricevuta di consegna e presa visione (da restituire firmata dal lavoratore)</w:t>
      </w:r>
    </w:p>
    <w:p w14:paraId="097DA819" w14:textId="77777777" w:rsidR="0004682B" w:rsidRDefault="0004682B" w:rsidP="00536AA4">
      <w:pPr>
        <w:rPr>
          <w:b/>
          <w:bCs/>
        </w:rPr>
      </w:pPr>
      <w:r w:rsidRPr="00641D3F">
        <w:t xml:space="preserve">Il/La sottoscritto/a ________________________________________ nato/a il ______________ a ____________________ (C.F. ________________________________________) assunto in data ______________ dichiara </w:t>
      </w:r>
      <w:r w:rsidRPr="00536AA4">
        <w:rPr>
          <w:rFonts w:cs="Lato Black"/>
          <w:b/>
          <w:bCs/>
        </w:rPr>
        <w:t>(siglare obbligatoriamente una delle voci seguenti)</w:t>
      </w:r>
    </w:p>
    <w:p w14:paraId="34A68965" w14:textId="77777777" w:rsidR="0004682B" w:rsidRDefault="0004682B" w:rsidP="00536AA4"/>
    <w:p w14:paraId="73F1B803" w14:textId="7EF0A8C6" w:rsidR="0004682B" w:rsidRDefault="0004682B" w:rsidP="00536AA4">
      <w:r>
        <w:t>[</w:t>
      </w:r>
      <w:r w:rsidR="00536AA4">
        <w:t xml:space="preserve">  </w:t>
      </w:r>
      <w:r>
        <w:t>]  di essere un neoassunto</w:t>
      </w:r>
    </w:p>
    <w:p w14:paraId="1B2D4081" w14:textId="7E8D98C4" w:rsidR="0004682B" w:rsidRDefault="0004682B" w:rsidP="00536AA4">
      <w:r>
        <w:t>[</w:t>
      </w:r>
      <w:r w:rsidR="00536AA4">
        <w:t xml:space="preserve">  </w:t>
      </w:r>
      <w:r>
        <w:t>] di essere un riassunto con in essere un’</w:t>
      </w:r>
      <w:r w:rsidRPr="00641D3F">
        <w:t xml:space="preserve">adesione a una forma pensionistica complementare </w:t>
      </w:r>
      <w:r>
        <w:t xml:space="preserve">alimentata in precedenza </w:t>
      </w:r>
      <w:r w:rsidRPr="00641D3F">
        <w:t xml:space="preserve">con conferimento </w:t>
      </w:r>
      <w:r>
        <w:t xml:space="preserve">totale o parziale </w:t>
      </w:r>
      <w:r w:rsidRPr="00641D3F">
        <w:t>del TFR</w:t>
      </w:r>
      <w:r>
        <w:t xml:space="preserve"> </w:t>
      </w:r>
    </w:p>
    <w:p w14:paraId="3210609E" w14:textId="10DFCF77" w:rsidR="0004682B" w:rsidRDefault="0004682B" w:rsidP="00536AA4">
      <w:r>
        <w:t>[</w:t>
      </w:r>
      <w:r w:rsidR="00536AA4">
        <w:t xml:space="preserve">  </w:t>
      </w:r>
      <w:r>
        <w:t xml:space="preserve">] di essere un riassunto senza </w:t>
      </w:r>
      <w:r w:rsidRPr="00641D3F">
        <w:t xml:space="preserve">adesione a una forma pensionistica complementare </w:t>
      </w:r>
      <w:r>
        <w:t xml:space="preserve">alimentata in precedenza </w:t>
      </w:r>
      <w:r w:rsidRPr="00641D3F">
        <w:t xml:space="preserve">con conferimento </w:t>
      </w:r>
      <w:r>
        <w:t xml:space="preserve">totale o parziale </w:t>
      </w:r>
      <w:r w:rsidRPr="00641D3F">
        <w:t>del TFR</w:t>
      </w:r>
    </w:p>
    <w:p w14:paraId="39575960" w14:textId="77777777" w:rsidR="0004682B" w:rsidRDefault="0004682B" w:rsidP="00536AA4">
      <w:r>
        <w:t xml:space="preserve">e </w:t>
      </w:r>
      <w:r w:rsidRPr="00641D3F">
        <w:t xml:space="preserve">di aver ricevuto in data odierna copia della presente informativa e della relativa modulistica obbligatoria </w:t>
      </w:r>
      <w:r w:rsidRPr="00F4609A">
        <w:t>(Modulo per la destinazione del TFR).</w:t>
      </w:r>
      <w:r w:rsidRPr="00641D3F">
        <w:t xml:space="preserve"> </w:t>
      </w:r>
    </w:p>
    <w:p w14:paraId="670C98C1" w14:textId="77777777" w:rsidR="0004682B" w:rsidRPr="00641D3F" w:rsidRDefault="0004682B" w:rsidP="00536AA4"/>
    <w:p w14:paraId="694D1EFE" w14:textId="77777777" w:rsidR="0004682B" w:rsidRPr="00641D3F" w:rsidRDefault="0004682B" w:rsidP="00536AA4">
      <w:r w:rsidRPr="00641D3F">
        <w:t>Data, _______________________</w:t>
      </w:r>
    </w:p>
    <w:p w14:paraId="4EAAF247" w14:textId="77777777" w:rsidR="0004682B" w:rsidRPr="00641D3F" w:rsidRDefault="0004682B" w:rsidP="00536AA4">
      <w:r w:rsidRPr="00641D3F">
        <w:t xml:space="preserve">Firma del Lavoratore per presa visione _________________________________ </w:t>
      </w:r>
    </w:p>
    <w:p w14:paraId="0F1D7F3D" w14:textId="77777777" w:rsidR="0004682B" w:rsidRDefault="0004682B" w:rsidP="00536AA4"/>
    <w:p w14:paraId="0138B5F5" w14:textId="77777777" w:rsidR="006A22E0" w:rsidRDefault="006A22E0" w:rsidP="00536AA4"/>
    <w:sectPr w:rsidR="006A22E0" w:rsidSect="00046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0B49" w14:textId="77777777" w:rsidR="006C484B" w:rsidRDefault="006C484B" w:rsidP="00536AA4">
      <w:r>
        <w:separator/>
      </w:r>
    </w:p>
  </w:endnote>
  <w:endnote w:type="continuationSeparator" w:id="0">
    <w:p w14:paraId="61168D5B" w14:textId="77777777" w:rsidR="006C484B" w:rsidRDefault="006C484B" w:rsidP="0053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E10002FF" w:usb1="5000ECFF" w:usb2="00000009" w:usb3="00000000" w:csb0="0000019F" w:csb1="00000000"/>
  </w:font>
  <w:font w:name="Fieldwork 07 Geo Black">
    <w:panose1 w:val="00000000000000000000"/>
    <w:charset w:val="00"/>
    <w:family w:val="modern"/>
    <w:notTrueType/>
    <w:pitch w:val="variable"/>
    <w:sig w:usb0="A00000FF" w:usb1="5000005B" w:usb2="00000000" w:usb3="00000000" w:csb0="00000093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E220" w14:textId="77777777" w:rsidR="006C484B" w:rsidRDefault="006C484B" w:rsidP="00536AA4">
      <w:r>
        <w:separator/>
      </w:r>
    </w:p>
  </w:footnote>
  <w:footnote w:type="continuationSeparator" w:id="0">
    <w:p w14:paraId="4E6ECA91" w14:textId="77777777" w:rsidR="006C484B" w:rsidRDefault="006C484B" w:rsidP="0053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7E83"/>
    <w:multiLevelType w:val="multilevel"/>
    <w:tmpl w:val="54F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51AE"/>
    <w:multiLevelType w:val="multilevel"/>
    <w:tmpl w:val="579A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D3358"/>
    <w:multiLevelType w:val="multilevel"/>
    <w:tmpl w:val="0B1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0178D"/>
    <w:multiLevelType w:val="multilevel"/>
    <w:tmpl w:val="6EAE763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617488">
    <w:abstractNumId w:val="1"/>
  </w:num>
  <w:num w:numId="2" w16cid:durableId="1472082">
    <w:abstractNumId w:val="3"/>
  </w:num>
  <w:num w:numId="3" w16cid:durableId="1307973853">
    <w:abstractNumId w:val="2"/>
  </w:num>
  <w:num w:numId="4" w16cid:durableId="50339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2B"/>
    <w:rsid w:val="0004682B"/>
    <w:rsid w:val="000C5460"/>
    <w:rsid w:val="000E5A89"/>
    <w:rsid w:val="0017056D"/>
    <w:rsid w:val="002D76D3"/>
    <w:rsid w:val="003B716F"/>
    <w:rsid w:val="004E676C"/>
    <w:rsid w:val="00521727"/>
    <w:rsid w:val="00536AA4"/>
    <w:rsid w:val="005638E6"/>
    <w:rsid w:val="00582D18"/>
    <w:rsid w:val="005C6464"/>
    <w:rsid w:val="00660A7D"/>
    <w:rsid w:val="006A22E0"/>
    <w:rsid w:val="006C484B"/>
    <w:rsid w:val="00714618"/>
    <w:rsid w:val="00862A20"/>
    <w:rsid w:val="00893A1C"/>
    <w:rsid w:val="009036EB"/>
    <w:rsid w:val="009E50A2"/>
    <w:rsid w:val="00AE2A95"/>
    <w:rsid w:val="00C045DA"/>
    <w:rsid w:val="00CB7D1D"/>
    <w:rsid w:val="00FA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113B"/>
  <w15:chartTrackingRefBased/>
  <w15:docId w15:val="{9A200751-A64B-417C-A6B9-407C0412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AA4"/>
    <w:pPr>
      <w:spacing w:line="259" w:lineRule="auto"/>
    </w:pPr>
    <w:rPr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536AA4"/>
    <w:pPr>
      <w:keepNext/>
      <w:keepLines/>
      <w:spacing w:before="360" w:after="80"/>
      <w:jc w:val="center"/>
      <w:outlineLvl w:val="0"/>
    </w:pPr>
    <w:rPr>
      <w:rFonts w:asciiTheme="majorHAnsi" w:eastAsia="Arial" w:hAnsiTheme="majorHAnsi" w:cstheme="majorBidi"/>
      <w:b/>
      <w:bCs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36AA4"/>
    <w:pPr>
      <w:keepNext/>
      <w:keepLines/>
      <w:spacing w:before="160" w:after="80"/>
      <w:ind w:left="284"/>
      <w:outlineLvl w:val="1"/>
    </w:pPr>
    <w:rPr>
      <w:rFonts w:asciiTheme="majorHAnsi" w:eastAsia="Arial" w:hAnsiTheme="majorHAnsi" w:cstheme="majorBidi"/>
      <w:b/>
      <w:bCs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536AA4"/>
    <w:pPr>
      <w:keepNext/>
      <w:keepLines/>
      <w:spacing w:before="160" w:after="80"/>
      <w:ind w:left="284"/>
      <w:outlineLvl w:val="2"/>
    </w:pPr>
    <w:rPr>
      <w:rFonts w:asciiTheme="majorHAnsi" w:eastAsia="Arial" w:hAnsiTheme="majorHAnsi" w:cs="Lato Black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6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6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6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FA6723"/>
    <w:pPr>
      <w:spacing w:after="80" w:line="260" w:lineRule="exact"/>
      <w:contextualSpacing/>
      <w:jc w:val="center"/>
    </w:pPr>
    <w:rPr>
      <w:rFonts w:ascii="Fieldwork 07 Geo Black" w:eastAsiaTheme="majorEastAsia" w:hAnsi="Fieldwork 07 Geo Black" w:cstheme="majorBidi"/>
      <w:color w:val="E97132" w:themeColor="accent2"/>
      <w:spacing w:val="-10"/>
      <w:kern w:val="28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FA6723"/>
    <w:rPr>
      <w:rFonts w:ascii="Fieldwork 07 Geo Black" w:eastAsiaTheme="majorEastAsia" w:hAnsi="Fieldwork 07 Geo Black" w:cstheme="majorBidi"/>
      <w:color w:val="E97132" w:themeColor="accent2"/>
      <w:spacing w:val="-10"/>
      <w:kern w:val="28"/>
      <w:sz w:val="80"/>
      <w:szCs w:val="8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36AA4"/>
    <w:rPr>
      <w:rFonts w:asciiTheme="majorHAnsi" w:eastAsia="Arial" w:hAnsiTheme="majorHAnsi" w:cs="Lato Black"/>
      <w:color w:val="0F476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6AA4"/>
    <w:rPr>
      <w:rFonts w:asciiTheme="majorHAnsi" w:eastAsia="Arial" w:hAnsiTheme="majorHAnsi" w:cstheme="majorBidi"/>
      <w:b/>
      <w:bCs/>
      <w:color w:val="0F4761" w:themeColor="accent1" w:themeShade="BF"/>
      <w:sz w:val="32"/>
      <w:szCs w:val="3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6AA4"/>
    <w:rPr>
      <w:rFonts w:asciiTheme="majorHAnsi" w:eastAsia="Arial" w:hAnsiTheme="majorHAnsi" w:cstheme="majorBidi"/>
      <w:b/>
      <w:bCs/>
      <w:color w:val="0F4761" w:themeColor="accent1" w:themeShade="BF"/>
      <w:sz w:val="40"/>
      <w:szCs w:val="4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82B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682B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682B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82B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82B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682B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6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6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682B"/>
    <w:rPr>
      <w:rFonts w:ascii="Lato Light" w:hAnsi="Lato Light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34"/>
    <w:qFormat/>
    <w:rsid w:val="000468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68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6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682B"/>
    <w:rPr>
      <w:rFonts w:ascii="Lato Light" w:hAnsi="Lato Light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04682B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468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4682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682B"/>
    <w:rPr>
      <w:vertAlign w:val="superscript"/>
    </w:rPr>
  </w:style>
  <w:style w:type="table" w:styleId="Tabellasemplice-2">
    <w:name w:val="Plain Table 2"/>
    <w:basedOn w:val="Tabellanormale"/>
    <w:uiPriority w:val="42"/>
    <w:rsid w:val="00660A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1333</Words>
  <Characters>8057</Characters>
  <Application>Microsoft Office Word</Application>
  <DocSecurity>0</DocSecurity>
  <Lines>183</Lines>
  <Paragraphs>118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Canepa</dc:creator>
  <cp:keywords/>
  <dc:description/>
  <cp:lastModifiedBy>Marco Canepa</cp:lastModifiedBy>
  <cp:revision>2</cp:revision>
  <dcterms:created xsi:type="dcterms:W3CDTF">2026-06-23T09:20:00Z</dcterms:created>
  <dcterms:modified xsi:type="dcterms:W3CDTF">2026-06-30T10:24:00Z</dcterms:modified>
</cp:coreProperties>
</file>